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F" w:rsidRDefault="0055022F">
      <w:pPr>
        <w:pStyle w:val="Default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54B7" w:rsidTr="000D68BA">
        <w:tc>
          <w:tcPr>
            <w:tcW w:w="8644" w:type="dxa"/>
            <w:shd w:val="clear" w:color="auto" w:fill="DAEEF3" w:themeFill="accent5" w:themeFillTint="33"/>
          </w:tcPr>
          <w:p w:rsidR="0055022F" w:rsidRDefault="0055022F">
            <w:pPr>
              <w:pStyle w:val="Default"/>
              <w:rPr>
                <w:color w:val="auto"/>
              </w:rPr>
            </w:pPr>
          </w:p>
          <w:p w:rsidR="00895990" w:rsidRPr="00895990" w:rsidRDefault="00895990" w:rsidP="00895990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895990">
              <w:rPr>
                <w:rFonts w:ascii="Arial" w:hAnsi="Arial" w:cs="Arial"/>
                <w:b/>
                <w:color w:val="auto"/>
              </w:rPr>
              <w:t>HORIZONTE 2020 EUROPAKO IKERKETA ESPARRU PROGRAMAREN BIGARREN FASEAN, ZIENTZIAREN, TEKNOLOGIAREN ETA BERRIKUNTZAREN E</w:t>
            </w:r>
            <w:r>
              <w:rPr>
                <w:rFonts w:ascii="Arial" w:hAnsi="Arial" w:cs="Arial"/>
                <w:b/>
                <w:color w:val="auto"/>
              </w:rPr>
              <w:t>USKAL SAREKO KIDE DIREN AGENTEEK IKERKETA</w:t>
            </w:r>
            <w:r w:rsidRPr="00895990">
              <w:rPr>
                <w:rFonts w:ascii="Arial" w:hAnsi="Arial" w:cs="Arial"/>
                <w:b/>
                <w:color w:val="auto"/>
              </w:rPr>
              <w:t xml:space="preserve"> PROIEKTUAK </w:t>
            </w:r>
            <w:r>
              <w:rPr>
                <w:rFonts w:ascii="Arial" w:hAnsi="Arial" w:cs="Arial"/>
                <w:b/>
                <w:color w:val="auto"/>
              </w:rPr>
              <w:t>AURKEZ DITZATEN,  DIRU-LAGUNTZAK ARAUTZEN DITUEN DEKRETU PROIEKTUA EGIN AURRETIKO, KONTSULTA PUBLIKOA</w:t>
            </w:r>
            <w:r w:rsidRPr="00895990">
              <w:rPr>
                <w:rFonts w:ascii="Arial" w:hAnsi="Arial" w:cs="Arial"/>
                <w:b/>
                <w:color w:val="auto"/>
              </w:rPr>
              <w:t>.</w:t>
            </w:r>
          </w:p>
          <w:p w:rsidR="00895990" w:rsidRDefault="00895990">
            <w:pPr>
              <w:pStyle w:val="Default"/>
              <w:rPr>
                <w:color w:val="auto"/>
              </w:rPr>
            </w:pPr>
          </w:p>
          <w:p w:rsidR="00895990" w:rsidRDefault="00895990">
            <w:pPr>
              <w:pStyle w:val="Default"/>
              <w:rPr>
                <w:color w:val="auto"/>
              </w:rPr>
            </w:pPr>
          </w:p>
        </w:tc>
      </w:tr>
    </w:tbl>
    <w:p w:rsidR="0055022F" w:rsidRDefault="0055022F">
      <w:pPr>
        <w:pStyle w:val="Default"/>
        <w:rPr>
          <w:color w:val="auto"/>
        </w:rPr>
      </w:pPr>
    </w:p>
    <w:p w:rsidR="00AC60CA" w:rsidRPr="00AC60CA" w:rsidRDefault="00AC60CA" w:rsidP="00AC60CA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AC60CA" w:rsidRPr="00AC60CA" w:rsidRDefault="00AC60CA" w:rsidP="00AC60CA">
      <w:pPr>
        <w:pStyle w:val="Default"/>
        <w:spacing w:before="120" w:after="120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C60CA">
        <w:rPr>
          <w:rFonts w:ascii="Arial" w:eastAsia="Times New Roman" w:hAnsi="Arial" w:cs="Arial"/>
          <w:color w:val="auto"/>
          <w:sz w:val="22"/>
          <w:szCs w:val="22"/>
        </w:rPr>
        <w:t>Urriaren 1eko, Administrazio Publikoen Administrazio Prozedura Erkidearen 39/2015 Legearen 133. xedapenean ezarritakoa jarraituz, aurretiazko kontsulta honen helburua, etorkizunean onartu litekeen arauak, uki ditzaketen norbanako eta ordezkaritza handieneko taldeen iritziak jasotzea da, honako gaien inguruan:</w:t>
      </w:r>
    </w:p>
    <w:p w:rsidR="00AC60CA" w:rsidRPr="00AC60CA" w:rsidRDefault="00AC60CA" w:rsidP="00AC60CA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AC60CA" w:rsidRPr="00AC60CA" w:rsidRDefault="00AC60CA" w:rsidP="00AC60CA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C60CA">
        <w:rPr>
          <w:rFonts w:ascii="Arial" w:eastAsia="Times New Roman" w:hAnsi="Arial" w:cs="Arial"/>
          <w:color w:val="auto"/>
          <w:sz w:val="22"/>
          <w:szCs w:val="22"/>
        </w:rPr>
        <w:t xml:space="preserve">•  </w:t>
      </w:r>
      <w:proofErr w:type="spellStart"/>
      <w:r w:rsidRPr="00AC60CA">
        <w:rPr>
          <w:rFonts w:ascii="Arial" w:eastAsia="Times New Roman" w:hAnsi="Arial" w:cs="Arial"/>
          <w:color w:val="auto"/>
          <w:sz w:val="22"/>
          <w:szCs w:val="22"/>
        </w:rPr>
        <w:t>Egistamo</w:t>
      </w:r>
      <w:proofErr w:type="spellEnd"/>
      <w:r w:rsidR="00E00CE8">
        <w:rPr>
          <w:rFonts w:ascii="Arial" w:eastAsia="Times New Roman" w:hAnsi="Arial" w:cs="Arial"/>
          <w:color w:val="auto"/>
          <w:sz w:val="22"/>
          <w:szCs w:val="22"/>
        </w:rPr>
        <w:t xml:space="preserve"> honeki</w:t>
      </w:r>
      <w:r w:rsidRPr="00AC60CA">
        <w:rPr>
          <w:rFonts w:ascii="Arial" w:eastAsia="Times New Roman" w:hAnsi="Arial" w:cs="Arial"/>
          <w:color w:val="auto"/>
          <w:sz w:val="22"/>
          <w:szCs w:val="22"/>
        </w:rPr>
        <w:t>n konpondu nahi diren arazoak.</w:t>
      </w:r>
    </w:p>
    <w:p w:rsidR="00AC60CA" w:rsidRPr="00AC60CA" w:rsidRDefault="00AC60CA" w:rsidP="00AC60CA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C60CA">
        <w:rPr>
          <w:rFonts w:ascii="Arial" w:eastAsia="Times New Roman" w:hAnsi="Arial" w:cs="Arial"/>
          <w:color w:val="auto"/>
          <w:sz w:val="22"/>
          <w:szCs w:val="22"/>
        </w:rPr>
        <w:t>•  Araua onartzearen beharra eta egokitasuna.</w:t>
      </w:r>
    </w:p>
    <w:p w:rsidR="00AC60CA" w:rsidRPr="00AC60CA" w:rsidRDefault="00AC60CA" w:rsidP="00AC60CA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C60CA">
        <w:rPr>
          <w:rFonts w:ascii="Arial" w:eastAsia="Times New Roman" w:hAnsi="Arial" w:cs="Arial"/>
          <w:color w:val="auto"/>
          <w:sz w:val="22"/>
          <w:szCs w:val="22"/>
        </w:rPr>
        <w:t>•  Arauaren xedeak.</w:t>
      </w:r>
    </w:p>
    <w:p w:rsidR="0055022F" w:rsidRDefault="00AC60CA" w:rsidP="00AC60CA">
      <w:pPr>
        <w:pStyle w:val="Default"/>
        <w:spacing w:before="120" w:after="12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C60CA">
        <w:rPr>
          <w:rFonts w:ascii="Arial" w:eastAsia="Times New Roman" w:hAnsi="Arial" w:cs="Arial"/>
          <w:color w:val="auto"/>
          <w:sz w:val="22"/>
          <w:szCs w:val="22"/>
        </w:rPr>
        <w:t>• Balizko konponbide arautzaile nahiz ez arautzaileak.</w:t>
      </w:r>
    </w:p>
    <w:p w:rsidR="0055022F" w:rsidRDefault="0055022F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55022F" w:rsidRDefault="00363645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Arauaren aurrekariak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55022F" w:rsidRDefault="00363645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Eusko Jaurlaritzak, ikerkuntzaren eta berrikuntzaren aldeko apustu estrategikoan, Euskadiko I+G+b politika bultzatzen du, euskal ekonomiak lehiakortasuna hobetzeko eta hazkunde iraunkorrerako bide batean aurrera egiteko funtsezko elementua den aldetik. </w:t>
            </w:r>
          </w:p>
          <w:p w:rsidR="0055022F" w:rsidRPr="00BA32B7" w:rsidRDefault="00363645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Zientzia, Teknologia eta Berrikuntzarako Planak (</w:t>
            </w:r>
            <w:r w:rsidR="00BA32B7"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ZTBP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2020), </w:t>
            </w:r>
            <w:r w:rsidR="00BA32B7"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aipatutako 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apustu</w:t>
            </w:r>
            <w:r w:rsidR="00BA32B7"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jasotze</w:t>
            </w:r>
            <w:r w:rsidR="00BA32B7"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az gain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ildo estrategikoen barruan, </w:t>
            </w:r>
            <w:r w:rsid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berrikuntzaren arloan Industriaren lidergoa sendotzea, 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Zientzia, Teknologia eta Berrikuntzarako Euskal Sistemaren bikaintasuna </w:t>
            </w:r>
            <w:r w:rsid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garatzea eta azken honen zabaltzea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eta nazioar</w:t>
            </w:r>
            <w:r w:rsid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tekotzea jasotzen ditu</w:t>
            </w:r>
            <w:r w:rsidRPr="00BA32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  <w:p w:rsidR="0055022F" w:rsidRDefault="00BA32B7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ZTBP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2020ren hedapenaren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bosgarren urtea igarota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Euskadi goi-berrikuntzako eskualdeen eta herrialdeen artean mantentzen da eta Ikerketa eta Garapeneko inbertsio </w:t>
            </w:r>
            <w:proofErr w:type="spellStart"/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publiko-pribatuen</w:t>
            </w:r>
            <w:proofErr w:type="spellEnd"/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hazkundearen joera</w:t>
            </w:r>
            <w:bookmarkStart w:id="0" w:name="_GoBack"/>
            <w:bookmarkEnd w:id="0"/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aldatu 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da. Hala ere, BPGren gaineko I+Gko inbertsio-ratioa Europako batez bestekoaren azpitik dago oraindik, batez ere enpresa-sektorean, lehiakortasun-galera</w:t>
            </w:r>
            <w:r w:rsidR="008364B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honek, dakarren arriskuarekin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  <w:p w:rsidR="0055022F" w:rsidRDefault="008364B6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>Europako H2020, ikerketarako Esparru P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rogramako funtsak biltzea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 eta nazioartekotzeak, 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Euskadin I+G+b finantzatzen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8364B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lagun dezakete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Innobasqueko Behatokiaren datuen arabera,</w:t>
            </w:r>
            <w:r>
              <w:t xml:space="preserve"> </w:t>
            </w:r>
            <w:r w:rsidRPr="008364B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2014tik 2017ra bitartean, 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euskal erakundeek 723 ikerketa-proiektutan parte hartu </w:t>
            </w:r>
            <w:r w:rsidR="004E6A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zuten,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ia 440 milioi euroko finantzaketa lortu</w:t>
            </w:r>
            <w:r w:rsidR="004E6A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z. Hala ere, urteetan zehar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parte-hartze hori murriztu egin dela</w:t>
            </w:r>
            <w:r w:rsidR="004E6A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 ikusi da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</w:p>
          <w:p w:rsidR="0055022F" w:rsidRDefault="004E6AB7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Eusko Jaurlaritzaren ustetan beharrezkoa da, une honetan,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H2020 Europako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kerketa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rako Esparru Programan</w:t>
            </w:r>
            <w:r w:rsidR="0036364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parte hartzea bultzatzea eta sustatzea.</w:t>
            </w:r>
          </w:p>
          <w:p w:rsidR="0055022F" w:rsidRDefault="00363645" w:rsidP="004E6AB7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Beraz, </w:t>
            </w:r>
            <w:r w:rsidR="004E6A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oraingoz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ez dago le</w:t>
            </w:r>
            <w:r w:rsidR="004E6A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hia hori babesteko diru-laguntza lerrorik, </w:t>
            </w:r>
            <w:r w:rsidR="00E00CE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honenbestez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 ez dago aurrekari araudirik.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55022F" w:rsidRDefault="00363645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Konpondu nahi diren arazoak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55022F" w:rsidRDefault="00363645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1.- </w:t>
            </w:r>
            <w:r w:rsidR="003F6D0B" w:rsidRP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Zientzia, Teknologia eta Berrikuntzarako Euskal Sareko eragileen bitartez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eta </w:t>
            </w:r>
            <w:r w:rsidR="003F6D0B" w:rsidRP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ZTBko interes esparruetan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</w:t>
            </w:r>
            <w:r w:rsidR="003F6D0B" w:rsidRP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Euskadiko 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I+G+b jarduera finantzatuko duen,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H2020 Europako 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sparru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rograma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ko funtsak erakartzea sustatzea.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3F6D0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(2014an 140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milioi euro bildu </w:t>
            </w:r>
            <w:r w:rsidR="00864F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ziren</w:t>
            </w:r>
            <w:r w:rsidR="00864F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ere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  201</w:t>
            </w:r>
            <w:r w:rsidR="00864F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an 105 milioi</w:t>
            </w:r>
            <w:r w:rsidR="00864F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soilik jaso ziren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).</w:t>
            </w:r>
          </w:p>
          <w:p w:rsidR="0055022F" w:rsidRDefault="00363645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2.- Euskadiko eragileek H2020 programako </w:t>
            </w:r>
            <w:r w:rsidR="008B7BF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bigarren fasean aurkezten dituzten,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Ikerkuntza eta Berrikuntza (RIA</w:t>
            </w:r>
            <w:r w:rsidR="008B7BF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 eta Berrikuntzako Ekintzen (IA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</w:t>
            </w:r>
            <w:r w:rsidR="008B7BF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8B7BF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proiektuen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kalitat</w:t>
            </w:r>
            <w:r w:rsidR="008B7BF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ea eta arrakasta aukerak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hobetzea (Euskal erakundeen egungo arrakasta-tasa %19koa da, Euskaditik bildutako funts guztien %80 RIA eta </w:t>
            </w:r>
            <w:r w:rsidR="008B7BF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IA proiektuak izanik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).</w:t>
            </w:r>
          </w:p>
          <w:p w:rsidR="0055022F" w:rsidRDefault="00A732A7" w:rsidP="00A202AF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3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.- </w:t>
            </w:r>
            <w:r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Europa mailako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i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kerketa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</w:t>
            </w:r>
            <w:r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roiektu 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gidarietan</w:t>
            </w:r>
            <w:r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euskal </w:t>
            </w:r>
            <w:r w:rsidR="00A202AF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erakundeen 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lidergo</w:t>
            </w:r>
            <w:r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</w:t>
            </w:r>
            <w:r w:rsidR="00034111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sustatzea, honela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E85D4E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Euskadiko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interes estrategikoetarantz bideratu ahal izango ditu</w:t>
            </w:r>
            <w:r w:rsidR="00A202AF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zte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euren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helburuak, enpresen parte-hartzea bultzatu</w:t>
            </w:r>
            <w:r w:rsid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 gainera</w:t>
            </w:r>
            <w:r w:rsidR="00A202AF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Honelako proiektuetan, e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uskal erakundeek </w:t>
            </w:r>
            <w:r w:rsidR="00A202AF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RIA eta IA proiektuen % 23tan, </w:t>
            </w:r>
            <w:r w:rsidR="00363645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koordinazioa </w:t>
            </w:r>
            <w:r w:rsidR="00A202AF" w:rsidRPr="00A202A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euren gain hartzen dute.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55022F" w:rsidRDefault="00363645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Onarpenaren beharra eta aukera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55022F" w:rsidRDefault="00363645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Beharra</w:t>
            </w:r>
            <w:r>
              <w:rPr>
                <w:color w:val="auto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2 urte falta d</w:t>
            </w:r>
            <w:r w:rsidR="00A732A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ira </w:t>
            </w:r>
            <w:r w:rsidR="00A732A7" w:rsidRPr="00A202A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ZTBP</w:t>
            </w:r>
            <w:r w:rsidRPr="00A202A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 2020 – RIS3</w:t>
            </w:r>
            <w:r w:rsidR="00A732A7" w:rsidRPr="00A202A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 Euskadi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hedatzeko prozesua amaitzeko, eta </w:t>
            </w:r>
            <w:r w:rsidR="00A732A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betetzeke dagoen erronka nagusietako bat I+G arloko inbertsioei benetako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bultzada </w:t>
            </w:r>
            <w:r w:rsidR="00A732A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bat ematea da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Ekonomia, Teknologia eta Berrikuntzarako Euskal Sareko eragileen ezagutza eta esperientzia oinarri hartuta, H2020 esparru-programako nazioarteko finantzaketa baliabide ekonomiko gehigarrien iturri gisa finkatu daiteke.</w:t>
            </w:r>
          </w:p>
          <w:p w:rsidR="0055022F" w:rsidRDefault="00363645" w:rsidP="00D31D84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Aukera</w:t>
            </w:r>
            <w:r>
              <w:rPr>
                <w:color w:val="auto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H2020 programaren azken txanpan, oraindik diru kopuru handia 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erabiltzeke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dago, eta horrek esan nahi du 2019 eta 2020rako ikerketa-proiektuetarako deialdi ugari argitaratuko direla, fi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nantziazio handia izango dutelarik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Une honetan, 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ukera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 xml:space="preserve">dago proposamenen arrakasta-tasa hobetzeko eta euskal 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erakundeen lidergoa bultzatzeko.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Honek euskal erakundeek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baliabide handiagoak 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izatea ahalbideratuko du,</w:t>
            </w:r>
            <w:r w:rsidR="00D31D84">
              <w:t xml:space="preserve"> </w:t>
            </w:r>
            <w:r w:rsidR="00D31D84" w:rsidRP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Zientzia, Teknologia eta Berrikuntzarako Euskal Sareko agenteek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D31D84" w:rsidRP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gidatuta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ko eta euskal enpresen parte hartzea izango duten, 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ikerketako proiektu</w:t>
            </w:r>
            <w:r w:rsidR="00D31D8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gidari handiak egin ahal izan daitezen.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55022F" w:rsidRDefault="00363645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Arauaren helburuak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55022F" w:rsidRDefault="00363645">
            <w:pPr>
              <w:spacing w:before="120" w:after="6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Proiektatzen den arauaren xedea da Zientzia, Teknologia eta Berrikuntzarako Euskal Sarean (ZTBES) egiaztatutako erakundeen jarduera ez-ekonomikoa babestea, ikerketa-jarduerak garatzen dituztenak, eta, horretarako, H2020 programako Ikerkuntza eta Berrikuntza Ekintzen (RIA) eta Berrikuntza Ekintzen (AI) proiektuen 2. faseko proposamenak egitea. </w:t>
            </w:r>
          </w:p>
          <w:p w:rsidR="0055022F" w:rsidRDefault="00363645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 dela eta, beharrezkotzat jotzen da honako kategoria hauetako batean egiaztatutako ZTBEko agenteei laguntza ematea: Unibertsitateen Ikerketa egiturak, Oinarrizko eta Bikaintasuneko Ikerketa Zentroak, Osasun Ikerkuntzako Institutuak, osasun-arloko I+G erakundeak, zentro teknologikoak eta ikerketa kooperatiboko zentroak.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55022F" w:rsidRDefault="00363645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Aukerako konponbide </w:t>
            </w: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alternatiboak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eta erregulaziozkoak ez direnak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55022F" w:rsidRDefault="00363645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Europako ikerketa-proiektuak egiteko laguntzak Ikerketa, Garapen eta Berrikuntzarako </w:t>
            </w:r>
            <w:proofErr w:type="spellStart"/>
            <w:r>
              <w:rPr>
                <w:rFonts w:ascii="Arial" w:eastAsia="Times New Roman" w:hAnsi="Arial" w:cs="Arial"/>
              </w:rPr>
              <w:t>Estat</w:t>
            </w:r>
            <w:r>
              <w:rPr>
                <w:rFonts w:ascii="Arial" w:eastAsia="Times New Roman" w:hAnsi="Arial" w:cs="Arial"/>
                <w:i/>
              </w:rPr>
              <w:t>u-Laguntzen</w:t>
            </w:r>
            <w:proofErr w:type="spellEnd"/>
            <w:r>
              <w:rPr>
                <w:rFonts w:ascii="Arial" w:eastAsia="Times New Roman" w:hAnsi="Arial" w:cs="Arial"/>
                <w:i/>
              </w:rPr>
              <w:t xml:space="preserve"> Europako Esparruan kokatu ahal izango dira,</w:t>
            </w:r>
            <w:r>
              <w:rPr>
                <w:rFonts w:ascii="Arial" w:eastAsia="Times New Roman" w:hAnsi="Arial" w:cs="Arial"/>
              </w:rPr>
              <w:t xml:space="preserve"> eta horrek ekarriko luke laguntza intentsitatea, aurkeztutako ikerketa-proiektu motaren arabera aldatuko litzatekeela. Aukera horrek proiektu bakoitzaren ebaluazio-karga garrantzitsua gehitzea ekarriko luke, laguntza onartzeko prozesua konplexuagoa, garestiagoa eta luzeagoa eg</w:t>
            </w:r>
            <w:r w:rsidR="00034111">
              <w:rPr>
                <w:rFonts w:ascii="Arial" w:eastAsia="Times New Roman" w:hAnsi="Arial" w:cs="Arial"/>
              </w:rPr>
              <w:t xml:space="preserve">inez. Ondorioz, aipatutako </w:t>
            </w:r>
            <w:r w:rsidR="00831CED">
              <w:rPr>
                <w:rFonts w:ascii="Arial" w:eastAsia="Times New Roman" w:hAnsi="Arial" w:cs="Arial"/>
              </w:rPr>
              <w:t xml:space="preserve">aukera </w:t>
            </w:r>
            <w:r w:rsidR="00034111">
              <w:rPr>
                <w:rFonts w:ascii="Arial" w:eastAsia="Times New Roman" w:hAnsi="Arial" w:cs="Arial"/>
              </w:rPr>
              <w:t xml:space="preserve">horrek, aurkeztuko liratekeen proposamenak gutxitzea </w:t>
            </w:r>
            <w:r>
              <w:rPr>
                <w:rFonts w:ascii="Arial" w:eastAsia="Times New Roman" w:hAnsi="Arial" w:cs="Arial"/>
              </w:rPr>
              <w:t xml:space="preserve">ekarriko luke, eta ondorioz, baliabide publikoen </w:t>
            </w:r>
            <w:r w:rsidR="00034111">
              <w:rPr>
                <w:rFonts w:ascii="Arial" w:eastAsia="Times New Roman" w:hAnsi="Arial" w:cs="Arial"/>
              </w:rPr>
              <w:t xml:space="preserve">erabilera  </w:t>
            </w:r>
            <w:r>
              <w:rPr>
                <w:rFonts w:ascii="Arial" w:eastAsia="Times New Roman" w:hAnsi="Arial" w:cs="Arial"/>
              </w:rPr>
              <w:t>eraginkor</w:t>
            </w:r>
            <w:r w:rsidR="00034111">
              <w:rPr>
                <w:rFonts w:ascii="Arial" w:eastAsia="Times New Roman" w:hAnsi="Arial" w:cs="Arial"/>
              </w:rPr>
              <w:t>ra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34111">
              <w:rPr>
                <w:rFonts w:ascii="Arial" w:eastAsia="Times New Roman" w:hAnsi="Arial" w:cs="Arial"/>
              </w:rPr>
              <w:t>murriztuko litza</w:t>
            </w:r>
            <w:r>
              <w:rPr>
                <w:rFonts w:ascii="Arial" w:eastAsia="Times New Roman" w:hAnsi="Arial" w:cs="Arial"/>
              </w:rPr>
              <w:t>teke.</w:t>
            </w:r>
          </w:p>
          <w:p w:rsidR="00034111" w:rsidRDefault="00363645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Bigarren aukera bat izango litzateke laguntzak </w:t>
            </w:r>
            <w:r w:rsidRPr="00831CED">
              <w:rPr>
                <w:rFonts w:ascii="Arial" w:eastAsia="Times New Roman" w:hAnsi="Arial" w:cs="Arial"/>
                <w:i/>
              </w:rPr>
              <w:t>minimis</w:t>
            </w:r>
            <w:r>
              <w:rPr>
                <w:rFonts w:ascii="Arial" w:eastAsia="Times New Roman" w:hAnsi="Arial" w:cs="Arial"/>
              </w:rPr>
              <w:t xml:space="preserve"> modalitatearen bidez esleitzea, baina horrek</w:t>
            </w:r>
            <w:r w:rsidR="00034111">
              <w:rPr>
                <w:rFonts w:ascii="Arial" w:eastAsia="Times New Roman" w:hAnsi="Arial" w:cs="Arial"/>
              </w:rPr>
              <w:t xml:space="preserve">, ohikoan </w:t>
            </w:r>
            <w:r w:rsidR="00034111" w:rsidRPr="00034111">
              <w:rPr>
                <w:rFonts w:ascii="Arial" w:eastAsia="Times New Roman" w:hAnsi="Arial" w:cs="Arial"/>
              </w:rPr>
              <w:t xml:space="preserve">Europako ikerketa-traktore proiektu handi </w:t>
            </w:r>
            <w:r w:rsidR="00034111">
              <w:rPr>
                <w:rFonts w:ascii="Arial" w:eastAsia="Times New Roman" w:hAnsi="Arial" w:cs="Arial"/>
              </w:rPr>
              <w:t>askoren</w:t>
            </w:r>
            <w:r w:rsidR="00034111" w:rsidRPr="00034111">
              <w:rPr>
                <w:rFonts w:ascii="Arial" w:eastAsia="Times New Roman" w:hAnsi="Arial" w:cs="Arial"/>
              </w:rPr>
              <w:t xml:space="preserve"> koordinatz</w:t>
            </w:r>
            <w:r w:rsidR="00034111">
              <w:rPr>
                <w:rFonts w:ascii="Arial" w:eastAsia="Times New Roman" w:hAnsi="Arial" w:cs="Arial"/>
              </w:rPr>
              <w:t xml:space="preserve">e lanetan diharduten </w:t>
            </w:r>
            <w:r w:rsidR="00034111" w:rsidRPr="00034111">
              <w:rPr>
                <w:rFonts w:ascii="Arial" w:eastAsia="Times New Roman" w:hAnsi="Arial" w:cs="Arial"/>
              </w:rPr>
              <w:t>Zientzia, Teknologia eta Berrik</w:t>
            </w:r>
            <w:r w:rsidR="00034111">
              <w:rPr>
                <w:rFonts w:ascii="Arial" w:eastAsia="Times New Roman" w:hAnsi="Arial" w:cs="Arial"/>
              </w:rPr>
              <w:t>untzaren Euskal Sareko eragileetako asko, laguntzen esparrutik kanpo uztea ekarriko luke.</w:t>
            </w:r>
          </w:p>
          <w:p w:rsidR="0055022F" w:rsidRDefault="00363645" w:rsidP="00034111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Hori dela eta, aukera errazena, arin</w:t>
            </w:r>
            <w:r w:rsidR="00034111">
              <w:rPr>
                <w:rFonts w:ascii="Arial" w:eastAsia="Times New Roman" w:hAnsi="Arial" w:cs="Arial"/>
              </w:rPr>
              <w:t xml:space="preserve">ena </w:t>
            </w:r>
            <w:r>
              <w:rPr>
                <w:rFonts w:ascii="Arial" w:eastAsia="Times New Roman" w:hAnsi="Arial" w:cs="Arial"/>
              </w:rPr>
              <w:t xml:space="preserve"> eta eraginkorrena da Zientzia, Teknologia eta Berrikuntzarako Euskal Sareko agenteen jarduera ez-ekonomikoa babestea, H2020 programaren RIA eta ia proiektuen 2. faseko proposamenak egiteko.</w:t>
            </w:r>
          </w:p>
        </w:tc>
      </w:tr>
    </w:tbl>
    <w:p w:rsidR="0055022F" w:rsidRDefault="0055022F" w:rsidP="00A202AF">
      <w:pPr>
        <w:pStyle w:val="Default"/>
        <w:spacing w:before="120" w:after="120" w:line="276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55022F" w:rsidRDefault="0055022F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</w:p>
    <w:sectPr w:rsidR="005502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2" w:rsidRDefault="000D4CC2" w:rsidP="0080292C">
      <w:pPr>
        <w:spacing w:after="0" w:line="240" w:lineRule="auto"/>
      </w:pPr>
      <w:r>
        <w:separator/>
      </w:r>
    </w:p>
  </w:endnote>
  <w:endnote w:type="continuationSeparator" w:id="0">
    <w:p w:rsidR="000D4CC2" w:rsidRDefault="000D4CC2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4913"/>
      <w:docPartObj>
        <w:docPartGallery w:val="Page Numbers (Bottom of Page)"/>
        <w:docPartUnique/>
      </w:docPartObj>
    </w:sdtPr>
    <w:sdtEndPr/>
    <w:sdtContent>
      <w:p w:rsidR="00826CA1" w:rsidRDefault="00826C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AF">
          <w:rPr>
            <w:noProof/>
          </w:rPr>
          <w:t>2</w:t>
        </w:r>
        <w:r>
          <w:fldChar w:fldCharType="end"/>
        </w:r>
      </w:p>
    </w:sdtContent>
  </w:sdt>
  <w:p w:rsidR="00826CA1" w:rsidRDefault="00826C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2" w:rsidRDefault="000D4CC2" w:rsidP="0080292C">
      <w:pPr>
        <w:spacing w:after="0" w:line="240" w:lineRule="auto"/>
      </w:pPr>
      <w:r>
        <w:separator/>
      </w:r>
    </w:p>
  </w:footnote>
  <w:footnote w:type="continuationSeparator" w:id="0">
    <w:p w:rsidR="000D4CC2" w:rsidRDefault="000D4CC2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FB" w:rsidRDefault="00310CFB" w:rsidP="00310CFB">
    <w:pPr>
      <w:pStyle w:val="Encabezado"/>
      <w:jc w:val="center"/>
    </w:pPr>
    <w:r w:rsidRPr="00310CFB">
      <w:rPr>
        <w:rFonts w:ascii="Arial" w:hAnsi="Arial"/>
        <w:noProof/>
        <w:sz w:val="16"/>
        <w:lang w:val="es-ES" w:eastAsia="es-ES"/>
      </w:rPr>
      <w:drawing>
        <wp:inline distT="0" distB="0" distL="0" distR="0" wp14:anchorId="4538E6FE" wp14:editId="330269F4">
          <wp:extent cx="3771195" cy="449580"/>
          <wp:effectExtent l="0" t="0" r="1270" b="7620"/>
          <wp:docPr id="2" name="2. iru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DE5" w:rsidRDefault="000A6DE5" w:rsidP="00310CFB">
    <w:pPr>
      <w:pStyle w:val="Encabezado"/>
      <w:jc w:val="center"/>
    </w:pPr>
    <w:r w:rsidRPr="000A6D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A77AA5" wp14:editId="7A19174E">
              <wp:simplePos x="0" y="0"/>
              <wp:positionH relativeFrom="page">
                <wp:posOffset>4242435</wp:posOffset>
              </wp:positionH>
              <wp:positionV relativeFrom="page">
                <wp:posOffset>1009015</wp:posOffset>
              </wp:positionV>
              <wp:extent cx="1857375" cy="350520"/>
              <wp:effectExtent l="0" t="0" r="0" b="0"/>
              <wp:wrapSquare wrapText="bothSides"/>
              <wp:docPr id="4" name="2. testu koadro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DE5" w:rsidRDefault="000A6DE5" w:rsidP="000A6DE5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0A6DE5" w:rsidRDefault="000A6DE5" w:rsidP="000A6DE5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Lehendakaritzaren Idazkaritza Nagusia</w:t>
                          </w:r>
                        </w:p>
                        <w:p w:rsidR="000A6DE5" w:rsidRDefault="000A6DE5" w:rsidP="000A6D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4.05pt;margin-top:79.45pt;width:146.2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" o:allowincell="f" filled="f" stroked="f">
              <v:textbox>
                <w:txbxContent>
                  <w:p w:rsidR="000A6DE5" w:rsidRDefault="000A6DE5" w:rsidP="000A6DE5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0A6DE5" w:rsidRDefault="000A6DE5" w:rsidP="000A6DE5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Lehendakaritzaren Idazkaritza Nagusia</w:t>
                    </w:r>
                  </w:p>
                  <w:p w:rsidR="000A6DE5" w:rsidRDefault="000A6DE5" w:rsidP="000A6DE5">
                    <w:pPr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0A6D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A005D8" wp14:editId="290D08B6">
              <wp:simplePos x="0" y="0"/>
              <wp:positionH relativeFrom="page">
                <wp:posOffset>2136038</wp:posOffset>
              </wp:positionH>
              <wp:positionV relativeFrom="page">
                <wp:posOffset>1009498</wp:posOffset>
              </wp:positionV>
              <wp:extent cx="1768475" cy="351129"/>
              <wp:effectExtent l="0" t="0" r="0" b="0"/>
              <wp:wrapSquare wrapText="bothSides"/>
              <wp:docPr id="1" name="1. testu koadro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51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DE5" w:rsidRDefault="000A6DE5" w:rsidP="000A6DE5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0A6DE5" w:rsidRDefault="000A6DE5" w:rsidP="000A6DE5">
                          <w:pPr>
                            <w:spacing w:before="35"/>
                          </w:pPr>
                          <w:proofErr w:type="spellStart"/>
                          <w:r w:rsidRPr="001A58D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Lehendakaritzarenidazkarinagusia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68.2pt;margin-top:79.5pt;width:139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9S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" o:allowincell="f" filled="f" stroked="f">
              <v:textbox>
                <w:txbxContent>
                  <w:p w:rsidR="000A6DE5" w:rsidRDefault="000A6DE5" w:rsidP="000A6DE5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0A6DE5" w:rsidRDefault="000A6DE5" w:rsidP="000A6DE5">
                    <w:pPr>
                      <w:spacing w:before="35"/>
                    </w:pPr>
                    <w:r w:rsidRPr="001A58DE">
                      <w:rPr>
                        <w:rFonts w:ascii="Arial" w:hAnsi="Arial"/>
                        <w:sz w:val="14"/>
                        <w:lang w:val="eu-ES"/>
                      </w:rPr>
                      <w:t>Lehendakaritzaren</w:t>
                    </w:r>
                    <w:r>
                      <w:rPr>
                        <w:rFonts w:ascii="Arial" w:hAnsi="Arial"/>
                        <w:sz w:val="14"/>
                      </w:rPr>
                      <w:t xml:space="preserve"/>
                    </w:r>
                    <w:r w:rsidRPr="001A58DE">
                      <w:rPr>
                        <w:rFonts w:ascii="Arial" w:hAnsi="Arial"/>
                        <w:sz w:val="14"/>
                        <w:lang w:val="eu-ES"/>
                      </w:rPr>
                      <w:t> idazkari</w:t>
                    </w:r>
                    <w:r>
                      <w:rPr>
                        <w:rFonts w:ascii="Arial" w:hAnsi="Arial"/>
                        <w:sz w:val="14"/>
                      </w:rPr>
                      <w:t xml:space="preserve"/>
                    </w:r>
                    <w:r w:rsidRPr="001A58DE">
                      <w:rPr>
                        <w:rFonts w:ascii="Arial" w:hAnsi="Arial"/>
                        <w:sz w:val="14"/>
                        <w:lang w:val="eu-ES"/>
                      </w:rPr>
                      <w:t> nagusia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0A6DE5" w:rsidRDefault="000A6DE5" w:rsidP="00310CFB">
    <w:pPr>
      <w:pStyle w:val="Encabezado"/>
      <w:jc w:val="center"/>
    </w:pPr>
  </w:p>
  <w:p w:rsidR="00310CFB" w:rsidRDefault="00310CFB" w:rsidP="00310CFB">
    <w:pPr>
      <w:pStyle w:val="Encabezado"/>
      <w:jc w:val="center"/>
    </w:pPr>
  </w:p>
  <w:p w:rsidR="000A6DE5" w:rsidRDefault="000A6DE5" w:rsidP="00310C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29586C"/>
    <w:multiLevelType w:val="hybridMultilevel"/>
    <w:tmpl w:val="CCD00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61489"/>
    <w:multiLevelType w:val="hybridMultilevel"/>
    <w:tmpl w:val="244CFF24"/>
    <w:lvl w:ilvl="0" w:tplc="2682ABFA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F4"/>
    <w:rsid w:val="00013ECC"/>
    <w:rsid w:val="000142ED"/>
    <w:rsid w:val="000227B5"/>
    <w:rsid w:val="00034111"/>
    <w:rsid w:val="00037930"/>
    <w:rsid w:val="00064C0E"/>
    <w:rsid w:val="00064FA1"/>
    <w:rsid w:val="00071937"/>
    <w:rsid w:val="00081E9B"/>
    <w:rsid w:val="000836C1"/>
    <w:rsid w:val="000A24B6"/>
    <w:rsid w:val="000A6DE5"/>
    <w:rsid w:val="000A73FA"/>
    <w:rsid w:val="000B7A1A"/>
    <w:rsid w:val="000D120C"/>
    <w:rsid w:val="000D4CC2"/>
    <w:rsid w:val="000D68BA"/>
    <w:rsid w:val="000F5169"/>
    <w:rsid w:val="000F5F30"/>
    <w:rsid w:val="00103799"/>
    <w:rsid w:val="0012092F"/>
    <w:rsid w:val="00134028"/>
    <w:rsid w:val="001417DE"/>
    <w:rsid w:val="00170392"/>
    <w:rsid w:val="00173E41"/>
    <w:rsid w:val="00194C10"/>
    <w:rsid w:val="001B226C"/>
    <w:rsid w:val="001B3A1D"/>
    <w:rsid w:val="001B6414"/>
    <w:rsid w:val="001F7723"/>
    <w:rsid w:val="002050C5"/>
    <w:rsid w:val="00207EDF"/>
    <w:rsid w:val="00221D22"/>
    <w:rsid w:val="00226A44"/>
    <w:rsid w:val="00237C97"/>
    <w:rsid w:val="0026228C"/>
    <w:rsid w:val="002655EB"/>
    <w:rsid w:val="0026764F"/>
    <w:rsid w:val="002A1248"/>
    <w:rsid w:val="002B7CD5"/>
    <w:rsid w:val="002C632D"/>
    <w:rsid w:val="002F6C7F"/>
    <w:rsid w:val="00310CFB"/>
    <w:rsid w:val="00315B3A"/>
    <w:rsid w:val="00363645"/>
    <w:rsid w:val="00372081"/>
    <w:rsid w:val="003F0099"/>
    <w:rsid w:val="003F6D0B"/>
    <w:rsid w:val="00405B9E"/>
    <w:rsid w:val="004128CE"/>
    <w:rsid w:val="00425975"/>
    <w:rsid w:val="004266C7"/>
    <w:rsid w:val="00466B58"/>
    <w:rsid w:val="004C36DB"/>
    <w:rsid w:val="004E0B46"/>
    <w:rsid w:val="004E6AB7"/>
    <w:rsid w:val="00513E23"/>
    <w:rsid w:val="00541F4A"/>
    <w:rsid w:val="00545E5B"/>
    <w:rsid w:val="0055022F"/>
    <w:rsid w:val="00565C0D"/>
    <w:rsid w:val="0058482E"/>
    <w:rsid w:val="0059124D"/>
    <w:rsid w:val="005913F4"/>
    <w:rsid w:val="005E4F35"/>
    <w:rsid w:val="006156B7"/>
    <w:rsid w:val="00630189"/>
    <w:rsid w:val="006558D3"/>
    <w:rsid w:val="00664A4B"/>
    <w:rsid w:val="006654B7"/>
    <w:rsid w:val="0066574B"/>
    <w:rsid w:val="006779F4"/>
    <w:rsid w:val="0069367B"/>
    <w:rsid w:val="006B5E8E"/>
    <w:rsid w:val="006D3E14"/>
    <w:rsid w:val="006D47F0"/>
    <w:rsid w:val="006E3BA2"/>
    <w:rsid w:val="006F525C"/>
    <w:rsid w:val="00725C35"/>
    <w:rsid w:val="00755D6E"/>
    <w:rsid w:val="00757FF2"/>
    <w:rsid w:val="00791485"/>
    <w:rsid w:val="007D4664"/>
    <w:rsid w:val="0080292C"/>
    <w:rsid w:val="00826CA1"/>
    <w:rsid w:val="00831CED"/>
    <w:rsid w:val="00831DC8"/>
    <w:rsid w:val="00835AEA"/>
    <w:rsid w:val="008364B6"/>
    <w:rsid w:val="008527A5"/>
    <w:rsid w:val="00864FC8"/>
    <w:rsid w:val="00865035"/>
    <w:rsid w:val="00873F0D"/>
    <w:rsid w:val="00876954"/>
    <w:rsid w:val="008868BB"/>
    <w:rsid w:val="00895990"/>
    <w:rsid w:val="008B7BF6"/>
    <w:rsid w:val="008C1F61"/>
    <w:rsid w:val="008D6281"/>
    <w:rsid w:val="0092251C"/>
    <w:rsid w:val="009362EC"/>
    <w:rsid w:val="009717F9"/>
    <w:rsid w:val="009A679B"/>
    <w:rsid w:val="009B5735"/>
    <w:rsid w:val="009C124C"/>
    <w:rsid w:val="00A14689"/>
    <w:rsid w:val="00A202AF"/>
    <w:rsid w:val="00A230EE"/>
    <w:rsid w:val="00A47F79"/>
    <w:rsid w:val="00A5515D"/>
    <w:rsid w:val="00A5751E"/>
    <w:rsid w:val="00A631E8"/>
    <w:rsid w:val="00A674CB"/>
    <w:rsid w:val="00A732A7"/>
    <w:rsid w:val="00A81B0D"/>
    <w:rsid w:val="00A91FF9"/>
    <w:rsid w:val="00AA35C3"/>
    <w:rsid w:val="00AA5892"/>
    <w:rsid w:val="00AC60CA"/>
    <w:rsid w:val="00AC773C"/>
    <w:rsid w:val="00AF251A"/>
    <w:rsid w:val="00AF3E90"/>
    <w:rsid w:val="00B16EAA"/>
    <w:rsid w:val="00B959A0"/>
    <w:rsid w:val="00BA32B7"/>
    <w:rsid w:val="00BA7FC9"/>
    <w:rsid w:val="00BD56BB"/>
    <w:rsid w:val="00BE5FD7"/>
    <w:rsid w:val="00BF4EA9"/>
    <w:rsid w:val="00C01BE6"/>
    <w:rsid w:val="00C01C89"/>
    <w:rsid w:val="00C122FE"/>
    <w:rsid w:val="00C17C1E"/>
    <w:rsid w:val="00C17F57"/>
    <w:rsid w:val="00C22598"/>
    <w:rsid w:val="00C57B4B"/>
    <w:rsid w:val="00CB298C"/>
    <w:rsid w:val="00CD5345"/>
    <w:rsid w:val="00CF46DE"/>
    <w:rsid w:val="00D0392F"/>
    <w:rsid w:val="00D16E36"/>
    <w:rsid w:val="00D17586"/>
    <w:rsid w:val="00D31D84"/>
    <w:rsid w:val="00D34B09"/>
    <w:rsid w:val="00D36016"/>
    <w:rsid w:val="00D47D46"/>
    <w:rsid w:val="00D64134"/>
    <w:rsid w:val="00D91AC3"/>
    <w:rsid w:val="00DA3495"/>
    <w:rsid w:val="00DB4519"/>
    <w:rsid w:val="00E00CE8"/>
    <w:rsid w:val="00E06623"/>
    <w:rsid w:val="00E15207"/>
    <w:rsid w:val="00E22692"/>
    <w:rsid w:val="00E22B43"/>
    <w:rsid w:val="00E43B09"/>
    <w:rsid w:val="00E762DC"/>
    <w:rsid w:val="00E81C2C"/>
    <w:rsid w:val="00E85D4E"/>
    <w:rsid w:val="00EC4CB8"/>
    <w:rsid w:val="00ED4BAC"/>
    <w:rsid w:val="00ED706F"/>
    <w:rsid w:val="00F109C3"/>
    <w:rsid w:val="00F21088"/>
    <w:rsid w:val="00F24A3C"/>
    <w:rsid w:val="00F51DA6"/>
    <w:rsid w:val="00F56DD4"/>
    <w:rsid w:val="00F7522A"/>
    <w:rsid w:val="00F87B7C"/>
    <w:rsid w:val="00F947E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A6DE5"/>
    <w:pPr>
      <w:keepNext/>
      <w:outlineLvl w:val="1"/>
    </w:pPr>
    <w:rPr>
      <w:rFonts w:ascii="Arial" w:eastAsia="Calibri" w:hAnsi="Arial" w:cs="Times New Roman"/>
      <w:b/>
      <w:sz w:val="1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A6DE5"/>
    <w:rPr>
      <w:rFonts w:ascii="Arial" w:eastAsia="Calibri" w:hAnsi="Arial" w:cs="Times New Roman"/>
      <w:b/>
      <w:sz w:val="1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A6DE5"/>
    <w:pPr>
      <w:keepNext/>
      <w:outlineLvl w:val="1"/>
    </w:pPr>
    <w:rPr>
      <w:rFonts w:ascii="Arial" w:eastAsia="Calibri" w:hAnsi="Arial" w:cs="Times New Roman"/>
      <w:b/>
      <w:sz w:val="1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A6DE5"/>
    <w:rPr>
      <w:rFonts w:ascii="Arial" w:eastAsia="Calibri" w:hAnsi="Arial" w:cs="Times New Roman"/>
      <w:b/>
      <w:sz w:val="1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5FB6-673D-4437-9340-45310EA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Ispizua Zuazua, Alfredo</dc:creator>
  <cp:lastModifiedBy>Amenabar Sancho, Iosu</cp:lastModifiedBy>
  <cp:revision>18</cp:revision>
  <cp:lastPrinted>2019-01-17T10:28:00Z</cp:lastPrinted>
  <dcterms:created xsi:type="dcterms:W3CDTF">2019-01-22T11:37:00Z</dcterms:created>
  <dcterms:modified xsi:type="dcterms:W3CDTF">2019-01-28T10:27:00Z</dcterms:modified>
</cp:coreProperties>
</file>